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2020年武定县“三公”经费决算情况</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说 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Times New Roman" w:hAnsi="Times New Roman" w:eastAsia="仿宋_GB2312" w:cs="Times New Roman"/>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根据国务院关于推进政府预算信息公开的决策部署和省州政府工作安排，经武定县财政局汇总，武定县人民政府审定，现将武定县部门（包括全县行政单位、事业单位、11个乡镇使用一般公共预算财政拨款安排“三公”经费单位），2020年“三公”经费决算情况公开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2020年武定县（本级）一般公共预算财政拨款“三公”经费支出决算汇总数为1782.83万元，较上年增加145.83万元，增长8.91%。其中：因公出国（境）费为0万元，较上年增加0万元，增长0%，共计安排因公出国（境）团组0个，因公出国（境）0人次。公务接待费为744万元，较上年增加14万元，增长1.92%，国内公务接待批次为10774次，共计接待117282人次。公务用车购置及运行维护费为10397万元，较上年增加132万元，增长14.55%（其中：公务用车购置费227万元，较上年增加163万元，增长255%；公务用车运行维护费812万元，较上年减少31万元，减少3.68%。共计购置公务用车13辆，年末公务用车保有量为241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2020年武定县一般公共预算财政拨款“三公”经费支出决算汇总数较上年增减变化情况及原因：2020年县委</w:t>
      </w:r>
      <w:r>
        <w:rPr>
          <w:rFonts w:hint="eastAsia" w:ascii="Times New Roman" w:hAnsi="Times New Roman" w:eastAsia="方正仿宋简体" w:cs="Times New Roman"/>
          <w:b w:val="0"/>
          <w:bCs w:val="0"/>
          <w:sz w:val="32"/>
          <w:szCs w:val="32"/>
          <w:lang w:val="en-US" w:eastAsia="zh-CN"/>
        </w:rPr>
        <w:t>县</w:t>
      </w:r>
      <w:bookmarkStart w:id="0" w:name="_GoBack"/>
      <w:bookmarkEnd w:id="0"/>
      <w:r>
        <w:rPr>
          <w:rFonts w:hint="default" w:ascii="Times New Roman" w:hAnsi="Times New Roman" w:eastAsia="方正仿宋简体" w:cs="Times New Roman"/>
          <w:b w:val="0"/>
          <w:bCs w:val="0"/>
          <w:sz w:val="32"/>
          <w:szCs w:val="32"/>
          <w:lang w:val="en-US" w:eastAsia="zh-CN"/>
        </w:rPr>
        <w:t>政府一如既往明确要求各乡镇、各部门严格落实各项公务接待制度，从严控制公务接待支出，虽因接受脱贫攻坚成效考核检查等各类接待事项较多，但公务接待支出较2019年仅小幅增加14万元；因车改后部份单位车辆老旧、疫情防控等需要，2020年新购置了13辆公务用车，公务用车购置费较上年增加163万元；因各乡镇、各部门严格执行厉行节约，严控公务用车运行维护费支出，虽公务用车普遍老化及脱贫攻坚下村入户多，但公务用车运行维护费仍较上年减少31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武定县严格执行中央八项规定和《党政机关厉行节约反对浪费条例》等有关文件精神，进一步加强“三公”经费管理。硬化预算约束，切实从源头控制“三公”经费，细化“三公”经费预算管理；严格控制审批因公出国（境）团组数及人数；强化公务用车总量控制，加强公务用车购置经费管理；严格落实各项公务接待制度，从严控制公务接待费用，2020年基本达到了中央“只减不增”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附件：1.武定县2020年“三公”经费决算数对比情况表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“三公”经费口径说明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00" w:right="0" w:rightChars="0"/>
        <w:jc w:val="both"/>
        <w:textAlignment w:val="auto"/>
        <w:outlineLvl w:val="9"/>
        <w:rPr>
          <w:rFonts w:hint="eastAsia" w:ascii="仿宋" w:hAnsi="仿宋" w:eastAsia="仿宋" w:cs="仿宋"/>
          <w:b w:val="0"/>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eastAsia="仿宋_GB2312"/>
          <w:b w:val="0"/>
          <w:bCs/>
          <w:sz w:val="30"/>
          <w:szCs w:val="30"/>
        </w:rPr>
      </w:pP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附件1：</w:t>
      </w:r>
    </w:p>
    <w:p>
      <w:pPr>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武定</w:t>
      </w:r>
      <w:r>
        <w:rPr>
          <w:rFonts w:hint="eastAsia" w:ascii="黑体" w:hAnsi="黑体" w:eastAsia="黑体" w:cs="黑体"/>
          <w:b w:val="0"/>
          <w:bCs/>
          <w:sz w:val="32"/>
          <w:szCs w:val="32"/>
        </w:rPr>
        <w:t>县</w:t>
      </w:r>
      <w:r>
        <w:rPr>
          <w:rFonts w:hint="eastAsia" w:ascii="黑体" w:hAnsi="黑体" w:eastAsia="黑体" w:cs="黑体"/>
          <w:b w:val="0"/>
          <w:bCs/>
          <w:sz w:val="32"/>
          <w:szCs w:val="32"/>
          <w:lang w:val="en-US" w:eastAsia="zh-CN"/>
        </w:rPr>
        <w:t>2020年</w:t>
      </w:r>
      <w:r>
        <w:rPr>
          <w:rFonts w:hint="eastAsia" w:ascii="黑体" w:hAnsi="黑体" w:eastAsia="黑体" w:cs="黑体"/>
          <w:b w:val="0"/>
          <w:bCs/>
          <w:sz w:val="32"/>
          <w:szCs w:val="32"/>
        </w:rPr>
        <w:t>“三公”经费决算</w:t>
      </w:r>
      <w:r>
        <w:rPr>
          <w:rFonts w:hint="eastAsia" w:ascii="黑体" w:hAnsi="黑体" w:eastAsia="黑体" w:cs="黑体"/>
          <w:b w:val="0"/>
          <w:bCs/>
          <w:sz w:val="32"/>
          <w:szCs w:val="32"/>
          <w:lang w:eastAsia="zh-CN"/>
        </w:rPr>
        <w:t>数对比情况表</w:t>
      </w:r>
    </w:p>
    <w:p>
      <w:pPr>
        <w:jc w:val="center"/>
        <w:rPr>
          <w:rFonts w:hint="eastAsia" w:ascii="黑体" w:hAnsi="黑体" w:eastAsia="黑体" w:cs="黑体"/>
          <w:b w:val="0"/>
          <w:bCs/>
          <w:sz w:val="32"/>
          <w:szCs w:val="32"/>
          <w:lang w:eastAsia="zh-CN"/>
        </w:rPr>
      </w:pPr>
    </w:p>
    <w:p>
      <w:pPr>
        <w:jc w:val="center"/>
        <w:rPr>
          <w:rFonts w:hint="eastAsia" w:ascii="宋体" w:hAnsi="宋体" w:eastAsia="宋体" w:cs="Arial"/>
          <w:color w:val="000000"/>
          <w:kern w:val="0"/>
          <w:sz w:val="20"/>
          <w:szCs w:val="20"/>
          <w:lang w:val="en-US" w:eastAsia="zh-CN"/>
        </w:rPr>
      </w:pPr>
      <w:r>
        <w:rPr>
          <w:rFonts w:hint="eastAsia" w:ascii="黑体" w:hAnsi="黑体" w:eastAsia="黑体" w:cs="黑体"/>
          <w:b w:val="0"/>
          <w:bCs/>
          <w:sz w:val="32"/>
          <w:szCs w:val="32"/>
          <w:lang w:val="en-US" w:eastAsia="zh-CN"/>
        </w:rPr>
        <w:t xml:space="preserve">                                  </w:t>
      </w:r>
      <w:r>
        <w:rPr>
          <w:rFonts w:hint="eastAsia" w:ascii="宋体" w:hAnsi="宋体" w:eastAsia="宋体" w:cs="Arial"/>
          <w:color w:val="000000"/>
          <w:kern w:val="0"/>
          <w:sz w:val="20"/>
          <w:szCs w:val="20"/>
          <w:lang w:val="en-US" w:eastAsia="zh-CN"/>
        </w:rPr>
        <w:t xml:space="preserve"> 单位：</w:t>
      </w:r>
      <w:r>
        <w:rPr>
          <w:rFonts w:hint="eastAsia" w:ascii="宋体" w:hAnsi="宋体" w:cs="Arial"/>
          <w:color w:val="000000"/>
          <w:kern w:val="0"/>
          <w:sz w:val="20"/>
          <w:szCs w:val="20"/>
          <w:lang w:val="en-US" w:eastAsia="zh-CN"/>
        </w:rPr>
        <w:t>万</w:t>
      </w:r>
      <w:r>
        <w:rPr>
          <w:rFonts w:hint="eastAsia" w:ascii="宋体" w:hAnsi="宋体" w:eastAsia="宋体" w:cs="Arial"/>
          <w:color w:val="000000"/>
          <w:kern w:val="0"/>
          <w:sz w:val="20"/>
          <w:szCs w:val="20"/>
          <w:lang w:val="en-US" w:eastAsia="zh-CN"/>
        </w:rPr>
        <w:t>元</w:t>
      </w:r>
    </w:p>
    <w:tbl>
      <w:tblPr>
        <w:tblStyle w:val="2"/>
        <w:tblW w:w="8160" w:type="dxa"/>
        <w:tblInd w:w="93" w:type="dxa"/>
        <w:tblLayout w:type="fixed"/>
        <w:tblCellMar>
          <w:top w:w="0" w:type="dxa"/>
          <w:left w:w="108" w:type="dxa"/>
          <w:bottom w:w="0" w:type="dxa"/>
          <w:right w:w="108" w:type="dxa"/>
        </w:tblCellMar>
      </w:tblPr>
      <w:tblGrid>
        <w:gridCol w:w="3216"/>
        <w:gridCol w:w="984"/>
        <w:gridCol w:w="1320"/>
        <w:gridCol w:w="1320"/>
        <w:gridCol w:w="1320"/>
      </w:tblGrid>
      <w:tr>
        <w:tblPrEx>
          <w:tblLayout w:type="fixed"/>
          <w:tblCellMar>
            <w:top w:w="0" w:type="dxa"/>
            <w:left w:w="108" w:type="dxa"/>
            <w:bottom w:w="0" w:type="dxa"/>
            <w:right w:w="108" w:type="dxa"/>
          </w:tblCellMar>
        </w:tblPrEx>
        <w:trPr>
          <w:trHeight w:val="615" w:hRule="atLeast"/>
        </w:trPr>
        <w:tc>
          <w:tcPr>
            <w:tcW w:w="32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上年</w:t>
            </w:r>
          </w:p>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决算数</w:t>
            </w:r>
          </w:p>
        </w:tc>
        <w:tc>
          <w:tcPr>
            <w:tcW w:w="13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rPr>
            </w:pPr>
            <w:r>
              <w:rPr>
                <w:rFonts w:hint="eastAsia" w:ascii="宋体" w:hAnsi="宋体" w:cs="Arial"/>
                <w:color w:val="000000"/>
                <w:kern w:val="0"/>
                <w:sz w:val="20"/>
                <w:szCs w:val="20"/>
                <w:lang w:eastAsia="zh-CN"/>
              </w:rPr>
              <w:t>本年</w:t>
            </w:r>
          </w:p>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决算数</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较上年增减情况</w:t>
            </w:r>
          </w:p>
        </w:tc>
      </w:tr>
      <w:tr>
        <w:tblPrEx>
          <w:tblLayout w:type="fixed"/>
          <w:tblCellMar>
            <w:top w:w="0" w:type="dxa"/>
            <w:left w:w="108" w:type="dxa"/>
            <w:bottom w:w="0" w:type="dxa"/>
            <w:right w:w="108" w:type="dxa"/>
          </w:tblCellMar>
        </w:tblPrEx>
        <w:trPr>
          <w:trHeight w:val="450" w:hRule="atLeast"/>
        </w:trPr>
        <w:tc>
          <w:tcPr>
            <w:tcW w:w="3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0"/>
                <w:szCs w:val="20"/>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3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增、减额</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增、减幅度</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  计</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1637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1783</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rPr>
            </w:pPr>
            <w:r>
              <w:rPr>
                <w:rFonts w:hint="eastAsia" w:ascii="宋体" w:hAnsi="宋体" w:cs="Arial"/>
                <w:color w:val="000000"/>
                <w:kern w:val="0"/>
                <w:sz w:val="20"/>
                <w:szCs w:val="20"/>
                <w:lang w:val="en-US" w:eastAsia="zh-CN"/>
              </w:rPr>
              <w:t>146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eastAsia="zh-CN"/>
              </w:rPr>
              <w:t xml:space="preserve"> </w:t>
            </w:r>
            <w:r>
              <w:rPr>
                <w:rFonts w:hint="eastAsia" w:ascii="宋体" w:hAnsi="宋体" w:cs="Arial"/>
                <w:color w:val="000000"/>
                <w:kern w:val="0"/>
                <w:sz w:val="20"/>
                <w:szCs w:val="20"/>
                <w:lang w:val="en-US" w:eastAsia="zh-CN"/>
              </w:rPr>
              <w:t>8.91%</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1、因公出国（境）费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0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0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0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cs="Arial"/>
                <w:color w:val="000000"/>
                <w:kern w:val="0"/>
                <w:sz w:val="20"/>
                <w:szCs w:val="20"/>
                <w:lang w:val="en-US" w:eastAsia="zh-CN"/>
              </w:rPr>
              <w:t xml:space="preserve">0% </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2、公务接待费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730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744</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14</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1.92% </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3、公务用车费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907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1039</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132</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14.55%</w:t>
            </w:r>
          </w:p>
        </w:tc>
      </w:tr>
      <w:tr>
        <w:tblPrEx>
          <w:tblLayout w:type="fixed"/>
          <w:tblCellMar>
            <w:top w:w="0" w:type="dxa"/>
            <w:left w:w="108" w:type="dxa"/>
            <w:bottom w:w="0" w:type="dxa"/>
            <w:right w:w="108" w:type="dxa"/>
          </w:tblCellMar>
        </w:tblPrEx>
        <w:trPr>
          <w:trHeight w:val="450"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其中：（1）公务用车购置</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64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227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cs="Arial"/>
                <w:color w:val="000000"/>
                <w:kern w:val="0"/>
                <w:sz w:val="20"/>
                <w:szCs w:val="20"/>
                <w:lang w:val="en-US" w:eastAsia="zh-CN"/>
              </w:rPr>
              <w:t>163</w:t>
            </w:r>
            <w:r>
              <w:rPr>
                <w:rFonts w:hint="eastAsia" w:ascii="宋体" w:hAnsi="宋体" w:eastAsia="宋体" w:cs="Arial"/>
                <w:color w:val="000000"/>
                <w:kern w:val="0"/>
                <w:sz w:val="20"/>
                <w:szCs w:val="20"/>
              </w:rPr>
              <w:t xml:space="preserve">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255% </w:t>
            </w:r>
          </w:p>
        </w:tc>
      </w:tr>
      <w:tr>
        <w:tblPrEx>
          <w:tblLayout w:type="fixed"/>
          <w:tblCellMar>
            <w:top w:w="0" w:type="dxa"/>
            <w:left w:w="108" w:type="dxa"/>
            <w:bottom w:w="0" w:type="dxa"/>
            <w:right w:w="108" w:type="dxa"/>
          </w:tblCellMar>
        </w:tblPrEx>
        <w:trPr>
          <w:trHeight w:val="585" w:hRule="atLeast"/>
        </w:trPr>
        <w:tc>
          <w:tcPr>
            <w:tcW w:w="3216" w:type="dxa"/>
            <w:tcBorders>
              <w:top w:val="nil"/>
              <w:left w:val="single" w:color="auto" w:sz="4" w:space="0"/>
              <w:bottom w:val="single" w:color="auto" w:sz="4" w:space="0"/>
              <w:right w:val="single" w:color="auto" w:sz="4" w:space="0"/>
            </w:tcBorders>
            <w:shd w:val="clear" w:color="auto" w:fill="auto"/>
            <w:vAlign w:val="center"/>
          </w:tcPr>
          <w:p>
            <w:pPr>
              <w:widowControl/>
              <w:ind w:left="1150" w:leftChars="500" w:hanging="100" w:hangingChars="5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（2）公务用车运行维护费</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843</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rPr>
            </w:pPr>
            <w:r>
              <w:rPr>
                <w:rFonts w:hint="eastAsia" w:ascii="宋体" w:hAnsi="宋体" w:cs="Arial"/>
                <w:color w:val="000000"/>
                <w:kern w:val="0"/>
                <w:sz w:val="20"/>
                <w:szCs w:val="20"/>
                <w:lang w:val="en-US" w:eastAsia="zh-CN"/>
              </w:rPr>
              <w:t>812</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val="en-US" w:eastAsia="zh-CN"/>
              </w:rPr>
              <w:t xml:space="preserve">-31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 -3.68%</w:t>
            </w:r>
          </w:p>
        </w:tc>
      </w:tr>
    </w:tbl>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hint="default" w:ascii="Times New Roman" w:hAnsi="Times New Roman" w:eastAsia="方正仿宋简体" w:cs="Times New Roman"/>
          <w:sz w:val="30"/>
          <w:szCs w:val="30"/>
          <w:highlight w:val="none"/>
        </w:rPr>
      </w:pPr>
      <w:r>
        <w:rPr>
          <w:rFonts w:hint="default" w:ascii="Times New Roman" w:hAnsi="Times New Roman" w:eastAsia="方正仿宋简体" w:cs="Times New Roman"/>
          <w:sz w:val="30"/>
          <w:szCs w:val="30"/>
          <w:highlight w:val="none"/>
        </w:rPr>
        <w:t>附件2：</w:t>
      </w:r>
    </w:p>
    <w:p>
      <w:pPr>
        <w:jc w:val="cente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“三公”经费口径说明</w:t>
      </w:r>
    </w:p>
    <w:p>
      <w:pPr>
        <w:ind w:firstLine="600" w:firstLineChars="200"/>
        <w:rPr>
          <w:rFonts w:hint="eastAsia" w:ascii="仿宋" w:hAnsi="仿宋" w:eastAsia="仿宋" w:cs="仿宋"/>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按照党中央、国务院有关文件及部门预算管理有关规定，“三公”经费包括因公出国（境）费、公务用车购置及运行维护费和公务接侍费。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因公出国（境）费</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指单位公务出国（境）的国际旅费、国外城市间交通费、住宿费、伙食费、培训费、公杂费等支出。</w:t>
      </w:r>
      <w:r>
        <w:rPr>
          <w:rFonts w:hint="default" w:ascii="Times New Roman" w:hAnsi="Times New Roman" w:eastAsia="方正仿宋简体" w:cs="Times New Roman"/>
          <w:sz w:val="32"/>
          <w:szCs w:val="32"/>
          <w:highlight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公务用车购置费</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指公务用车购置支出（含车辆购置税、拍照费）；公务用车运行维护费，指单位按规定保留的公务用车燃料费、维修费、过路过桥费、保险费、安全奖励费用等支出。</w:t>
      </w:r>
      <w:r>
        <w:rPr>
          <w:rFonts w:hint="default" w:ascii="Times New Roman" w:hAnsi="Times New Roman" w:eastAsia="方正仿宋简体" w:cs="Times New Roman"/>
          <w:sz w:val="32"/>
          <w:szCs w:val="32"/>
          <w:highlight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公务接侍费</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指单位按规定开支的各类公务接待（含外宾接待）费用。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二、“三公”经费决算数：指</w:t>
      </w:r>
      <w:r>
        <w:rPr>
          <w:rFonts w:hint="default" w:ascii="Times New Roman" w:hAnsi="Times New Roman" w:eastAsia="方正仿宋简体" w:cs="Times New Roman"/>
          <w:sz w:val="32"/>
          <w:szCs w:val="32"/>
          <w:highlight w:val="none"/>
          <w:lang w:eastAsia="zh-CN"/>
        </w:rPr>
        <w:t>各级</w:t>
      </w:r>
      <w:r>
        <w:rPr>
          <w:rFonts w:hint="default" w:ascii="Times New Roman" w:hAnsi="Times New Roman" w:eastAsia="方正仿宋简体" w:cs="Times New Roman"/>
          <w:sz w:val="32"/>
          <w:szCs w:val="32"/>
          <w:highlight w:val="none"/>
        </w:rPr>
        <w:t>各部门（含下属单位）用一般公共预算财政拨款（含上年结转结余和当年预算）安排的因公出国（境）费、公务用车购置及运行维护费和公务接待费支出数。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0"/>
          <w:szCs w:val="30"/>
          <w:lang w:val="en-US" w:eastAsia="zh-CN"/>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1C873"/>
    <w:multiLevelType w:val="singleLevel"/>
    <w:tmpl w:val="5D01C873"/>
    <w:lvl w:ilvl="0" w:tentative="0">
      <w:start w:val="2"/>
      <w:numFmt w:val="decimal"/>
      <w:suff w:val="nothing"/>
      <w:lvlText w:val="%1."/>
      <w:lvlJc w:val="left"/>
    </w:lvl>
  </w:abstractNum>
  <w:abstractNum w:abstractNumId="1">
    <w:nsid w:val="5D01CC24"/>
    <w:multiLevelType w:val="singleLevel"/>
    <w:tmpl w:val="5D01CC2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06935"/>
    <w:rsid w:val="10DC5AF4"/>
    <w:rsid w:val="13B22D18"/>
    <w:rsid w:val="18481500"/>
    <w:rsid w:val="18DE02E6"/>
    <w:rsid w:val="1D844263"/>
    <w:rsid w:val="21A67E8F"/>
    <w:rsid w:val="2C5A4900"/>
    <w:rsid w:val="2C6F65D1"/>
    <w:rsid w:val="3530524B"/>
    <w:rsid w:val="360547AC"/>
    <w:rsid w:val="3641469B"/>
    <w:rsid w:val="3CF36204"/>
    <w:rsid w:val="45820CE5"/>
    <w:rsid w:val="4D6E552D"/>
    <w:rsid w:val="4F306935"/>
    <w:rsid w:val="4F6A4D7E"/>
    <w:rsid w:val="58CE7BAD"/>
    <w:rsid w:val="5E89275A"/>
    <w:rsid w:val="68636F7D"/>
    <w:rsid w:val="68776372"/>
    <w:rsid w:val="6A087369"/>
    <w:rsid w:val="716928ED"/>
    <w:rsid w:val="735B20E1"/>
    <w:rsid w:val="740A4019"/>
    <w:rsid w:val="77D04F1E"/>
    <w:rsid w:val="7B09269F"/>
    <w:rsid w:val="7FD850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2019-06-13T03:33:00Z</dcterms:created>
  <dc:creator>王艺涵</dc:creator>
  <cp:lastModifiedBy>张云霞</cp:lastModifiedBy>
  <cp:lastPrinted>2021-10-05T03:05:00Z</cp:lastPrinted>
  <dcterms:modified xsi:type="dcterms:W3CDTF">2023-07-19T11:33:58Z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