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pacing w:val="-20"/>
          <w:sz w:val="48"/>
          <w:szCs w:val="48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  <w:lang w:val="en-US" w:eastAsia="zh-CN"/>
        </w:rPr>
        <w:t>武定县</w:t>
      </w: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20</w:t>
      </w: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  <w:lang w:val="en-US" w:eastAsia="zh-CN"/>
        </w:rPr>
        <w:t>23</w:t>
      </w: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年政府预算公开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目    录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54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第一部分：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武定县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年地方财政预算执行情况和20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年地方财政预算</w:t>
      </w: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草案的报告（书面）</w:t>
      </w:r>
    </w:p>
    <w:p>
      <w:pPr>
        <w:spacing w:line="53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黑体简体" w:cs="Times New Roman"/>
          <w:sz w:val="32"/>
          <w:szCs w:val="32"/>
        </w:rPr>
        <w:t>年地方财政预算执行情况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eastAsia="方正楷体简体"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一般公共预算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情况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（二）政府性基金预算执行情况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（三）国有资本经营预算执行情况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 w:cs="Times New Roman"/>
          <w:bCs/>
          <w:sz w:val="32"/>
          <w:szCs w:val="32"/>
        </w:rPr>
        <w:t>（四）</w:t>
      </w:r>
      <w:r>
        <w:rPr>
          <w:rFonts w:ascii="Times New Roman" w:hAnsi="Times New Roman" w:eastAsia="方正楷体简体"/>
          <w:color w:val="000000"/>
          <w:sz w:val="32"/>
          <w:szCs w:val="32"/>
        </w:rPr>
        <w:t>社会保险基金预算执行情况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方正楷体简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楷体简体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简体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方正楷体简体"/>
          <w:color w:val="000000"/>
          <w:sz w:val="32"/>
          <w:szCs w:val="32"/>
          <w:lang w:val="en-US" w:eastAsia="zh-CN"/>
        </w:rPr>
        <w:t>地方政府性债务情况</w:t>
      </w:r>
    </w:p>
    <w:p>
      <w:pPr>
        <w:spacing w:line="53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二、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年财政主要工作</w:t>
      </w:r>
    </w:p>
    <w:p>
      <w:pPr>
        <w:numPr>
          <w:ilvl w:val="0"/>
          <w:numId w:val="2"/>
        </w:numPr>
        <w:spacing w:line="530" w:lineRule="exact"/>
        <w:ind w:left="3" w:leftChars="0" w:firstLine="627" w:firstLineChars="0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坚持党的全面领导，持续强化“以财辅政”</w:t>
      </w:r>
    </w:p>
    <w:p>
      <w:pPr>
        <w:numPr>
          <w:ilvl w:val="0"/>
          <w:numId w:val="2"/>
        </w:numPr>
        <w:spacing w:line="530" w:lineRule="exact"/>
        <w:ind w:left="3" w:leftChars="0" w:firstLine="627" w:firstLineChars="0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落实积极财政政策，持续强化财源培植</w:t>
      </w:r>
    </w:p>
    <w:p>
      <w:pPr>
        <w:spacing w:line="530" w:lineRule="exact"/>
        <w:ind w:firstLine="627" w:firstLineChars="196"/>
        <w:rPr>
          <w:rFonts w:hint="eastAsia" w:ascii="方正楷体简体" w:hAnsi="方正楷体简体" w:eastAsia="方正楷体简体" w:cs="方正楷体简体"/>
          <w:sz w:val="32"/>
          <w:highlight w:val="none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巩固提升脱贫成果，支持推进乡村振兴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highlight w:val="none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highlight w:val="none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highlight w:val="none"/>
        </w:rPr>
        <w:t>）</w:t>
      </w: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持续加大民生投入，推动发展成果共享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  <w:t>强化基础设施投入，积极扩大有效投资</w:t>
      </w:r>
    </w:p>
    <w:p>
      <w:pPr>
        <w:pStyle w:val="2"/>
        <w:ind w:firstLine="640" w:firstLineChars="200"/>
        <w:jc w:val="both"/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（六）统筹好发展与安全，防范化解重大风险</w:t>
      </w:r>
    </w:p>
    <w:p>
      <w:pPr>
        <w:pStyle w:val="3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深化财政体制改革，提升财政治理效能</w:t>
      </w:r>
    </w:p>
    <w:p>
      <w:pPr>
        <w:pStyle w:val="3"/>
        <w:ind w:left="0" w:leftChars="0" w:firstLine="640" w:firstLineChars="200"/>
        <w:rPr>
          <w:rFonts w:hint="default" w:ascii="Times New Roman" w:hAnsi="Times New Roman" w:eastAsia="方正黑体简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三、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黑体简体" w:cs="Times New Roman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highlight w:val="none"/>
        </w:rPr>
        <w:t>年地方财政预算草案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highlight w:val="none"/>
          <w:lang w:val="en-US" w:eastAsia="zh-CN"/>
        </w:rPr>
        <w:t>（一）指导思想</w:t>
      </w: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highlight w:val="none"/>
          <w:lang w:val="en-US" w:eastAsia="zh-CN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spacing w:line="550" w:lineRule="exact"/>
        <w:ind w:firstLine="640" w:firstLineChars="200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2023年财政收支预算安排情况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一般公共预算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收支情况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政府性基金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国有资本经营预算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收支情况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</w:rPr>
        <w:t>社会保险基金预算</w:t>
      </w:r>
      <w: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收支情况</w:t>
      </w:r>
    </w:p>
    <w:p>
      <w:pPr>
        <w:spacing w:line="550" w:lineRule="exact"/>
        <w:ind w:firstLine="640" w:firstLineChars="200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2023年县级“三保”预算安排情况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highlight w:val="none"/>
        </w:rPr>
        <w:t>、202</w:t>
      </w:r>
      <w:r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highlight w:val="none"/>
        </w:rPr>
        <w:t>年财政重点工作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eastAsia="方正楷体简体"/>
          <w:sz w:val="32"/>
          <w:szCs w:val="32"/>
          <w:highlight w:val="none"/>
          <w:lang w:val="en-US" w:eastAsia="zh-CN"/>
        </w:rPr>
      </w:pPr>
      <w:r>
        <w:rPr>
          <w:rFonts w:hint="eastAsia" w:eastAsia="方正楷体简体"/>
          <w:sz w:val="32"/>
          <w:szCs w:val="32"/>
          <w:highlight w:val="none"/>
          <w:lang w:val="en-US" w:eastAsia="zh-CN"/>
        </w:rPr>
        <w:t>（一）深入学习贯彻落实党的二十大精神，坚持和强化党对财政工作的全面领导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（二）强化税源培植拓展增收渠道，推动财政高质量可持续发展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三）持续强化过紧日子的思想，兜牢兜实县级“三保”底线</w:t>
      </w:r>
    </w:p>
    <w:p>
      <w:pPr>
        <w:spacing w:line="530" w:lineRule="exact"/>
        <w:ind w:firstLine="640" w:firstLineChars="200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四）持续聚焦民生福祉投入，不断满足人民群众对美好生活的需求</w:t>
      </w:r>
    </w:p>
    <w:p>
      <w:pPr>
        <w:pStyle w:val="3"/>
        <w:ind w:left="0" w:leftChars="0" w:firstLine="640" w:firstLineChars="200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（五）强化重点领域支出保障，助力推动乡村振兴战略</w:t>
      </w:r>
    </w:p>
    <w:p>
      <w:pPr>
        <w:ind w:firstLine="640" w:firstLineChars="200"/>
        <w:rPr>
          <w:rFonts w:hint="eastAsia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eastAsia="zh-CN"/>
        </w:rPr>
        <w:t>全力深化财税体制改革，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全面提升财政治理效能</w:t>
      </w:r>
    </w:p>
    <w:p>
      <w:pPr>
        <w:spacing w:line="530" w:lineRule="exact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 </w:t>
      </w:r>
    </w:p>
    <w:p>
      <w:pPr>
        <w:spacing w:line="53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             </w:t>
      </w: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第二部分：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武定县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年地方财政预算执行情况和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年地方财政预算</w:t>
      </w:r>
    </w:p>
    <w:p>
      <w:pPr>
        <w:spacing w:line="53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（草案）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表一、武定县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年一般公共预算收入执行情况表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年一般公共预算支出执行情况表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表三、武定县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年政府性基金预算收入执行情况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表四、武定县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年政府性基金预算支出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表五--1、武定县202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年国有资本经营预算收入执行情况表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表五--2、武定县202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年国有资本经营预算支出执行情况表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表六、武定县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年社会保险基金收入执行情况表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表七、武定县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年社会保险基金支出执行情况表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表八、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年社会保险基金结余情况表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表九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年一般公共预算收入情况表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表九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年一般公共预算收入情况表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年一般公共预算支出情况表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年一般公共预算支出情况表</w:t>
      </w:r>
    </w:p>
    <w:p>
      <w:pPr>
        <w:spacing w:line="530" w:lineRule="exact"/>
        <w:ind w:left="1916" w:leftChars="303" w:hanging="1280" w:hangingChars="400"/>
        <w:rPr>
          <w:rFonts w:hint="default"/>
          <w:lang w:val="en-US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--3、武定县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2023年一般公共预算基本支出情况表（公开到款级）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--4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、武定县2023年一般公共预算政府预算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经济分类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--5、武定县2023年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一般公共预算支出表（州、市对下转移支付项目）</w:t>
      </w:r>
    </w:p>
    <w:p>
      <w:pPr>
        <w:spacing w:line="530" w:lineRule="exact"/>
        <w:ind w:left="1916" w:leftChars="303" w:hanging="1280" w:hangingChars="400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表十--6、武定县2023年分地区税收返还和转移支付预算表</w:t>
      </w:r>
    </w:p>
    <w:p>
      <w:pPr>
        <w:spacing w:line="530" w:lineRule="exact"/>
        <w:ind w:left="1916" w:leftChars="303" w:hanging="1280" w:hangingChars="400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表十--7、武定县2023年“三公”经费预算财政拨款情况统计表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表十一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武定县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2023年政府性基金预算收入情况表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表十一--2、武定县2023年本级政府性基金预算收入情况表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表十二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2023年基金预算支出情况表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表十二--2、武定县2023年本级政府性基金预算支出情况表（公开到项级）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表十二--3、武定县2023年本级政府性基金支出表（州、市对下转移支付）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表十三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2023年国有资本经营预算情况表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表十三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武定县2023年国有资本经营收入预算情况表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表十三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--3、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  <w:t>武定县2023年国有资本经营支出预算情况表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表十三--4、武定县2023年本级国有资本经营收入预算情况表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表十三--5、武定县2023年本级国有资本经营支出预算情况表（公开到项级）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表十三--6、武定县2023年国有资本经营预算转移支付表（分乡镇）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表十三--7、武定县2023年国有资本经营预算转移支付表（分项目）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2023年社会保险基金收入预算情况表</w:t>
      </w:r>
    </w:p>
    <w:p>
      <w:pPr>
        <w:spacing w:line="530" w:lineRule="exact"/>
        <w:ind w:left="2558" w:leftChars="304" w:hanging="1920" w:hangingChars="600"/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2023年本级社会保险基金收入预算情况表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表十五--1、武定县2023年社会保险基金支出预算情况表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表十五--2、武定县本级2023年社会保险基金收入预算情况表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表十六、2023年社保基金结余情况表表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表十七--1、武定县2022年地方政府债务限额及余额情况表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表十七--2、武定县 2022年地方政府债务限额及余额预算情况表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2022年地方政府债务投向情况表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九--1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2022年地方政府一般债务余额情况表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九--2、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武定县本级2022年地方政府一般债务余额情况表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2022年地方政府专项债务余额情况表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武定县本级2022年地方政府专项债务余额情况表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武定县2023年政府债务限额和余额情况表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武定县地方政府债券发行及还本付息情况表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2023年地方政府债务限额提前下达情况表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2023年年初新增地方政府债券资金安排表</w:t>
      </w:r>
    </w:p>
    <w:p>
      <w:pPr>
        <w:spacing w:line="530" w:lineRule="exact"/>
        <w:ind w:left="1892" w:leftChars="304" w:hanging="1254" w:hangingChars="392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重大政策和重点项目绩效目标表</w:t>
      </w:r>
    </w:p>
    <w:p>
      <w:pPr>
        <w:spacing w:line="530" w:lineRule="exact"/>
        <w:ind w:left="2212" w:leftChars="304" w:hanging="1574" w:hangingChars="492"/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表二十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六、重点工作情况解释说明汇总表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三</w:t>
      </w:r>
      <w:r>
        <w:rPr>
          <w:rFonts w:ascii="Times New Roman" w:hAnsi="Times New Roman" w:eastAsia="方正小标宋简体" w:cs="Times New Roman"/>
          <w:sz w:val="44"/>
          <w:szCs w:val="44"/>
        </w:rPr>
        <w:t>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武定县202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部门</w:t>
      </w:r>
      <w:r>
        <w:rPr>
          <w:rFonts w:ascii="Times New Roman" w:hAnsi="Times New Roman" w:eastAsia="方正小标宋简体" w:cs="Times New Roman"/>
          <w:sz w:val="44"/>
          <w:szCs w:val="44"/>
        </w:rPr>
        <w:t>预算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情况汇总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line="530" w:lineRule="exact"/>
        <w:ind w:firstLine="640" w:firstLineChars="200"/>
        <w:jc w:val="left"/>
        <w:rPr>
          <w:rFonts w:ascii="方正楷体简体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表一、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年一般公共预算支出汇总表</w:t>
      </w:r>
    </w:p>
    <w:p>
      <w:pPr>
        <w:spacing w:line="530" w:lineRule="exact"/>
        <w:ind w:firstLine="640" w:firstLineChars="200"/>
        <w:jc w:val="left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表二、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年财政拨款收支预算汇总表</w:t>
      </w:r>
    </w:p>
    <w:p>
      <w:pPr>
        <w:spacing w:line="530" w:lineRule="exact"/>
        <w:ind w:firstLine="640" w:firstLineChars="200"/>
        <w:jc w:val="left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表三、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</w:t>
      </w:r>
      <w:r>
        <w:rPr>
          <w:rFonts w:hint="eastAsia" w:ascii="方正楷体简体" w:hAnsi="Times New Roman" w:eastAsia="方正楷体简体" w:cs="Times New Roman"/>
          <w:sz w:val="32"/>
          <w:szCs w:val="32"/>
          <w:lang w:val="en-US" w:eastAsia="zh-CN"/>
        </w:rPr>
        <w:t>部门预算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收支预算总表</w:t>
      </w:r>
    </w:p>
    <w:p>
      <w:pPr>
        <w:spacing w:line="530" w:lineRule="exact"/>
        <w:ind w:firstLine="640" w:firstLineChars="200"/>
        <w:jc w:val="left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表四、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年一般公共预算基本支出明细表</w:t>
      </w:r>
    </w:p>
    <w:p>
      <w:pPr>
        <w:spacing w:line="530" w:lineRule="exact"/>
        <w:ind w:firstLine="640" w:firstLineChars="200"/>
        <w:jc w:val="left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表五、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年一般公共预算部门项目支出明细表</w:t>
      </w:r>
    </w:p>
    <w:p>
      <w:pPr>
        <w:spacing w:line="530" w:lineRule="exact"/>
        <w:ind w:firstLine="640" w:firstLineChars="200"/>
        <w:jc w:val="left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表六、政府性基金预算县级财力安排项目明细表</w:t>
      </w:r>
    </w:p>
    <w:p>
      <w:pPr>
        <w:spacing w:line="530" w:lineRule="exact"/>
        <w:ind w:firstLine="640" w:firstLineChars="200"/>
        <w:jc w:val="left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</w:t>
      </w:r>
      <w:r>
        <w:rPr>
          <w:rFonts w:hint="eastAsia" w:ascii="方正楷体简体" w:hAnsi="Times New Roman" w:eastAsia="方正楷体简体" w:cs="Times New Roman"/>
          <w:sz w:val="32"/>
          <w:szCs w:val="32"/>
          <w:lang w:val="en-US" w:eastAsia="zh-CN"/>
        </w:rPr>
        <w:t>七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年“三公”经费财政拨款支出预算汇总表</w:t>
      </w:r>
    </w:p>
    <w:p>
      <w:pPr>
        <w:spacing w:line="530" w:lineRule="exact"/>
        <w:ind w:firstLine="640" w:firstLineChars="200"/>
        <w:jc w:val="left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</w:t>
      </w:r>
      <w:r>
        <w:rPr>
          <w:rFonts w:hint="eastAsia" w:ascii="方正楷体简体" w:hAnsi="Times New Roman" w:eastAsia="方正楷体简体" w:cs="Times New Roman"/>
          <w:sz w:val="32"/>
          <w:szCs w:val="32"/>
          <w:lang w:val="en-US" w:eastAsia="zh-CN"/>
        </w:rPr>
        <w:t>八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  <w:lang w:eastAsia="zh-CN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年部门政府采购预算表</w:t>
      </w:r>
    </w:p>
    <w:p>
      <w:pPr>
        <w:pStyle w:val="2"/>
        <w:ind w:left="1920" w:hanging="1920" w:hangingChars="600"/>
        <w:jc w:val="both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  <w:lang w:val="en-US" w:eastAsia="zh-CN"/>
        </w:rPr>
        <w:t xml:space="preserve">    表九、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  <w:lang w:eastAsia="zh-CN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年部门政府购买服务预算表</w:t>
      </w:r>
    </w:p>
    <w:p>
      <w:pPr>
        <w:pStyle w:val="2"/>
        <w:ind w:firstLine="640" w:firstLineChars="200"/>
        <w:jc w:val="both"/>
        <w:rPr>
          <w:rFonts w:hint="default" w:ascii="方正楷体简体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表十、</w:t>
      </w:r>
      <w:r>
        <w:rPr>
          <w:rFonts w:hint="eastAsia" w:ascii="方正楷体简体" w:hAnsi="Times New Roman" w:eastAsia="方正楷体简体" w:cs="Times New Roman"/>
          <w:sz w:val="32"/>
          <w:szCs w:val="32"/>
          <w:lang w:val="en-US" w:eastAsia="zh-CN"/>
        </w:rPr>
        <w:t>武定县2023年国标省标县级“三保”预算编制情况表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四</w:t>
      </w:r>
      <w:r>
        <w:rPr>
          <w:rFonts w:ascii="Times New Roman" w:hAnsi="Times New Roman" w:eastAsia="方正小标宋简体" w:cs="Times New Roman"/>
          <w:sz w:val="44"/>
          <w:szCs w:val="44"/>
        </w:rPr>
        <w:t>部分：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武定县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年地方财政预算（草案）编制说明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30" w:lineRule="exact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二、编制要求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三、编制方法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四、编制程序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五、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2023年人员及车辆基本情况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六、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  <w:lang w:val="en-US" w:eastAsia="zh-CN"/>
        </w:rPr>
        <w:t>国标省标县级“三保”支出预算情况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七、2023年县级可用财力及支出安排情况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八、报表体系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九、名词解释</w:t>
      </w:r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十、政策解读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五</w:t>
      </w:r>
      <w:r>
        <w:rPr>
          <w:rFonts w:ascii="Times New Roman" w:hAnsi="Times New Roman" w:eastAsia="方正小标宋简体" w:cs="Times New Roman"/>
          <w:sz w:val="44"/>
          <w:szCs w:val="44"/>
        </w:rPr>
        <w:t>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其他情况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说明</w:t>
      </w:r>
    </w:p>
    <w:p>
      <w:pPr>
        <w:numPr>
          <w:ilvl w:val="0"/>
          <w:numId w:val="3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武定县202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年转移支付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执行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情况说明</w:t>
      </w:r>
      <w:bookmarkStart w:id="0" w:name="_GoBack"/>
      <w:bookmarkEnd w:id="0"/>
    </w:p>
    <w:p>
      <w:pPr>
        <w:numPr>
          <w:ilvl w:val="0"/>
          <w:numId w:val="3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武定县202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年转移支付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预算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情况说明</w:t>
      </w:r>
    </w:p>
    <w:p>
      <w:pPr>
        <w:numPr>
          <w:ilvl w:val="0"/>
          <w:numId w:val="3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2022年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举借债务情况说明</w:t>
      </w:r>
    </w:p>
    <w:p>
      <w:pPr>
        <w:numPr>
          <w:ilvl w:val="0"/>
          <w:numId w:val="3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武定县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202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年“三公”经费预算安排情况说明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30" w:lineRule="exact"/>
        <w:ind w:firstLine="56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rPr>
        <w:rStyle w:val="9"/>
        <w:sz w:val="28"/>
        <w:szCs w:val="28"/>
      </w:rPr>
    </w:pPr>
    <w:r>
      <w:rPr>
        <w:rStyle w:val="9"/>
        <w:sz w:val="28"/>
        <w:szCs w:val="28"/>
      </w:rPr>
      <w:ptab w:relativeTo="margin" w:alignment="center" w:leader="none"/>
    </w:r>
    <w:r>
      <w:rPr>
        <w:rStyle w:val="9"/>
        <w:rFonts w:hint="eastAsia"/>
        <w:sz w:val="28"/>
        <w:szCs w:val="28"/>
      </w:rPr>
      <w:t>-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7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-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60D84A"/>
    <w:multiLevelType w:val="singleLevel"/>
    <w:tmpl w:val="C560D84A"/>
    <w:lvl w:ilvl="0" w:tentative="0">
      <w:start w:val="1"/>
      <w:numFmt w:val="chineseCounting"/>
      <w:suff w:val="nothing"/>
      <w:lvlText w:val="（%1）"/>
      <w:lvlJc w:val="left"/>
      <w:pPr>
        <w:ind w:left="3"/>
      </w:pPr>
      <w:rPr>
        <w:rFonts w:hint="eastAsia"/>
      </w:rPr>
    </w:lvl>
  </w:abstractNum>
  <w:abstractNum w:abstractNumId="1">
    <w:nsid w:val="FB609EAC"/>
    <w:multiLevelType w:val="singleLevel"/>
    <w:tmpl w:val="FB609EA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CA1D737"/>
    <w:multiLevelType w:val="singleLevel"/>
    <w:tmpl w:val="5CA1D73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644EA"/>
    <w:rsid w:val="00057C7A"/>
    <w:rsid w:val="0009590E"/>
    <w:rsid w:val="00127A34"/>
    <w:rsid w:val="001E7A5B"/>
    <w:rsid w:val="004800C8"/>
    <w:rsid w:val="005A79A2"/>
    <w:rsid w:val="006F3769"/>
    <w:rsid w:val="00796242"/>
    <w:rsid w:val="009C389F"/>
    <w:rsid w:val="00A648CA"/>
    <w:rsid w:val="00AE7EEC"/>
    <w:rsid w:val="00B40B20"/>
    <w:rsid w:val="00B4380A"/>
    <w:rsid w:val="00BC089A"/>
    <w:rsid w:val="00CF4C1A"/>
    <w:rsid w:val="00DD3549"/>
    <w:rsid w:val="00F04C72"/>
    <w:rsid w:val="00F10DC8"/>
    <w:rsid w:val="00F75725"/>
    <w:rsid w:val="00F835A8"/>
    <w:rsid w:val="01976300"/>
    <w:rsid w:val="019B417F"/>
    <w:rsid w:val="05A7415F"/>
    <w:rsid w:val="063A56C2"/>
    <w:rsid w:val="083644EA"/>
    <w:rsid w:val="08565026"/>
    <w:rsid w:val="09FE30DE"/>
    <w:rsid w:val="0ADF6830"/>
    <w:rsid w:val="0C505BB0"/>
    <w:rsid w:val="0E6E0C73"/>
    <w:rsid w:val="0F197B3E"/>
    <w:rsid w:val="0FBA6B01"/>
    <w:rsid w:val="1026783A"/>
    <w:rsid w:val="10CE1903"/>
    <w:rsid w:val="12587788"/>
    <w:rsid w:val="127671F9"/>
    <w:rsid w:val="12B54D09"/>
    <w:rsid w:val="18A0681C"/>
    <w:rsid w:val="1A4E2E08"/>
    <w:rsid w:val="1D2C4A97"/>
    <w:rsid w:val="1DE5276B"/>
    <w:rsid w:val="1E0F6FEA"/>
    <w:rsid w:val="20370671"/>
    <w:rsid w:val="20C8372D"/>
    <w:rsid w:val="231C4BC9"/>
    <w:rsid w:val="23B25F8F"/>
    <w:rsid w:val="23DE4AA0"/>
    <w:rsid w:val="244F6802"/>
    <w:rsid w:val="247167D4"/>
    <w:rsid w:val="24C03088"/>
    <w:rsid w:val="2521593A"/>
    <w:rsid w:val="25F27213"/>
    <w:rsid w:val="26214FC9"/>
    <w:rsid w:val="27961DB9"/>
    <w:rsid w:val="2878231B"/>
    <w:rsid w:val="29435B30"/>
    <w:rsid w:val="2AF751FB"/>
    <w:rsid w:val="2D015A6B"/>
    <w:rsid w:val="2D94197D"/>
    <w:rsid w:val="2F8E5559"/>
    <w:rsid w:val="30311BE8"/>
    <w:rsid w:val="315C56E0"/>
    <w:rsid w:val="32C84254"/>
    <w:rsid w:val="32F4047F"/>
    <w:rsid w:val="345C2DF6"/>
    <w:rsid w:val="35DC387F"/>
    <w:rsid w:val="38C54CF6"/>
    <w:rsid w:val="38E009FA"/>
    <w:rsid w:val="395A44BA"/>
    <w:rsid w:val="3A1A4A52"/>
    <w:rsid w:val="3C4F2F1C"/>
    <w:rsid w:val="401C28C4"/>
    <w:rsid w:val="408B2236"/>
    <w:rsid w:val="430203C8"/>
    <w:rsid w:val="430951FE"/>
    <w:rsid w:val="45AB34AB"/>
    <w:rsid w:val="4874245F"/>
    <w:rsid w:val="493E2340"/>
    <w:rsid w:val="4A3238CB"/>
    <w:rsid w:val="4C340FC2"/>
    <w:rsid w:val="51BD6336"/>
    <w:rsid w:val="51F0347A"/>
    <w:rsid w:val="52524F98"/>
    <w:rsid w:val="53A47009"/>
    <w:rsid w:val="547900CB"/>
    <w:rsid w:val="55A17A51"/>
    <w:rsid w:val="55E26B36"/>
    <w:rsid w:val="57346B5A"/>
    <w:rsid w:val="58B4671A"/>
    <w:rsid w:val="58C84DEE"/>
    <w:rsid w:val="591900EC"/>
    <w:rsid w:val="593E46D8"/>
    <w:rsid w:val="599770FE"/>
    <w:rsid w:val="5B0D5E09"/>
    <w:rsid w:val="5B5E05B0"/>
    <w:rsid w:val="5E180195"/>
    <w:rsid w:val="60913AE6"/>
    <w:rsid w:val="612A704A"/>
    <w:rsid w:val="646C50C1"/>
    <w:rsid w:val="65574A6F"/>
    <w:rsid w:val="6AA07600"/>
    <w:rsid w:val="6CE25CBE"/>
    <w:rsid w:val="6D6D3AB3"/>
    <w:rsid w:val="6F202ABC"/>
    <w:rsid w:val="713B4AC4"/>
    <w:rsid w:val="731F0D87"/>
    <w:rsid w:val="7401463C"/>
    <w:rsid w:val="7471294B"/>
    <w:rsid w:val="74A52066"/>
    <w:rsid w:val="758F3300"/>
    <w:rsid w:val="7604418B"/>
    <w:rsid w:val="765404EA"/>
    <w:rsid w:val="766223BD"/>
    <w:rsid w:val="78B16E9A"/>
    <w:rsid w:val="793E3889"/>
    <w:rsid w:val="7C4F7750"/>
    <w:rsid w:val="7CBA5AC4"/>
    <w:rsid w:val="7F7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rFonts w:eastAsia="楷体_GB2312"/>
      <w:sz w:val="44"/>
    </w:rPr>
  </w:style>
  <w:style w:type="paragraph" w:styleId="3">
    <w:name w:val="toc 5"/>
    <w:basedOn w:val="1"/>
    <w:next w:val="1"/>
    <w:qFormat/>
    <w:uiPriority w:val="99"/>
    <w:pPr>
      <w:ind w:left="168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2">
    <w:name w:val="No Spacing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qFormat/>
    <w:uiPriority w:val="1"/>
    <w:rPr>
      <w:sz w:val="22"/>
      <w:szCs w:val="22"/>
    </w:rPr>
  </w:style>
  <w:style w:type="paragraph" w:customStyle="1" w:styleId="14">
    <w:name w:val="Normal Indent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2021C-3A8A-413A-ABBB-AA3B94E3E5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463</Words>
  <Characters>2645</Characters>
  <Lines>22</Lines>
  <Paragraphs>6</Paragraphs>
  <TotalTime>36</TotalTime>
  <ScaleCrop>false</ScaleCrop>
  <LinksUpToDate>false</LinksUpToDate>
  <CharactersWithSpaces>3102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2018-01-12T14:54:00Z</dcterms:created>
  <dc:creator>果果</dc:creator>
  <cp:lastModifiedBy>wdcz</cp:lastModifiedBy>
  <dcterms:modified xsi:type="dcterms:W3CDTF">2023-03-03T08:31:12Z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