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ascii="Times New Roman" w:hAnsi="Times New Roman" w:eastAsia="方正小标宋简体" w:cs="Times New Roman"/>
          <w:sz w:val="48"/>
          <w:szCs w:val="48"/>
        </w:rPr>
      </w:pPr>
      <w:r>
        <w:rPr>
          <w:rFonts w:hint="eastAsia" w:ascii="Times New Roman" w:hAnsi="Times New Roman" w:eastAsia="方正小标宋简体" w:cs="Times New Roman"/>
          <w:spacing w:val="-20"/>
          <w:sz w:val="48"/>
          <w:szCs w:val="48"/>
          <w:lang w:val="en-US" w:eastAsia="zh-CN"/>
        </w:rPr>
        <w:t>武定县</w:t>
      </w:r>
      <w:r>
        <w:rPr>
          <w:rFonts w:ascii="Times New Roman" w:hAnsi="Times New Roman" w:eastAsia="方正小标宋简体" w:cs="Times New Roman"/>
          <w:spacing w:val="-20"/>
          <w:sz w:val="48"/>
          <w:szCs w:val="48"/>
        </w:rPr>
        <w:t>20</w:t>
      </w:r>
      <w:r>
        <w:rPr>
          <w:rFonts w:hint="eastAsia" w:ascii="Times New Roman" w:hAnsi="Times New Roman" w:eastAsia="方正小标宋简体" w:cs="Times New Roman"/>
          <w:spacing w:val="-20"/>
          <w:sz w:val="48"/>
          <w:szCs w:val="48"/>
          <w:lang w:val="en-US" w:eastAsia="zh-CN"/>
        </w:rPr>
        <w:t>24</w:t>
      </w:r>
      <w:r>
        <w:rPr>
          <w:rFonts w:ascii="Times New Roman" w:hAnsi="Times New Roman" w:eastAsia="方正小标宋简体" w:cs="Times New Roman"/>
          <w:spacing w:val="-20"/>
          <w:sz w:val="48"/>
          <w:szCs w:val="48"/>
        </w:rPr>
        <w:t>年政府预</w:t>
      </w:r>
      <w:bookmarkStart w:id="0" w:name="_GoBack"/>
      <w:bookmarkEnd w:id="0"/>
      <w:r>
        <w:rPr>
          <w:rFonts w:ascii="Times New Roman" w:hAnsi="Times New Roman" w:eastAsia="方正小标宋简体" w:cs="Times New Roman"/>
          <w:spacing w:val="-20"/>
          <w:sz w:val="48"/>
          <w:szCs w:val="48"/>
        </w:rPr>
        <w:t>算公开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ascii="Times New Roman" w:hAnsi="Times New Roman" w:eastAsia="方正小标宋简体" w:cs="Times New Roman"/>
          <w:sz w:val="48"/>
          <w:szCs w:val="4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ascii="Times New Roman" w:hAnsi="Times New Roman" w:eastAsia="方正小标宋简体" w:cs="Times New Roman"/>
          <w:sz w:val="48"/>
          <w:szCs w:val="48"/>
        </w:rPr>
      </w:pPr>
      <w:r>
        <w:rPr>
          <w:rFonts w:ascii="Times New Roman" w:hAnsi="Times New Roman" w:eastAsia="方正小标宋简体" w:cs="Times New Roman"/>
          <w:sz w:val="48"/>
          <w:szCs w:val="48"/>
        </w:rPr>
        <w:t>目    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第一部分：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武定县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年地方财政预算执行情况和20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24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年地方财政预算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草案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）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>一、</w:t>
      </w:r>
      <w:r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黑体简体" w:cs="Times New Roman"/>
          <w:sz w:val="32"/>
          <w:szCs w:val="32"/>
        </w:rPr>
        <w:t>年地方财政预算执行情况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eastAsia="方正楷体简体"/>
          <w:color w:val="00000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一般公共预算</w:t>
      </w:r>
      <w:r>
        <w:rPr>
          <w:rFonts w:hint="default" w:ascii="Times New Roman" w:hAnsi="Times New Roman" w:eastAsia="方正楷体简体" w:cs="Times New Roman"/>
          <w:sz w:val="32"/>
          <w:szCs w:val="32"/>
          <w:highlight w:val="none"/>
        </w:rPr>
        <w:t>收支</w:t>
      </w: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情况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Times New Roman" w:hAnsi="Times New Roman" w:eastAsia="方正楷体简体"/>
          <w:sz w:val="32"/>
          <w:szCs w:val="32"/>
        </w:rPr>
      </w:pPr>
      <w:r>
        <w:rPr>
          <w:rFonts w:ascii="Times New Roman" w:hAnsi="Times New Roman" w:eastAsia="方正楷体简体"/>
          <w:sz w:val="32"/>
          <w:szCs w:val="32"/>
        </w:rPr>
        <w:t>（二）政府性基金预算执行情况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Times New Roman" w:hAnsi="Times New Roman" w:eastAsia="方正楷体简体" w:cs="Times New Roman"/>
          <w:bCs/>
          <w:sz w:val="32"/>
          <w:szCs w:val="32"/>
        </w:rPr>
      </w:pPr>
      <w:r>
        <w:rPr>
          <w:rFonts w:ascii="Times New Roman" w:hAnsi="Times New Roman" w:eastAsia="方正楷体简体"/>
          <w:color w:val="000000"/>
          <w:sz w:val="32"/>
          <w:szCs w:val="32"/>
        </w:rPr>
        <w:t>（三）国有资本经营预算执行情况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Times New Roman" w:hAnsi="Times New Roman" w:eastAsia="方正楷体简体"/>
          <w:color w:val="000000"/>
          <w:sz w:val="32"/>
          <w:szCs w:val="32"/>
        </w:rPr>
      </w:pPr>
      <w:r>
        <w:rPr>
          <w:rFonts w:ascii="Times New Roman" w:hAnsi="Times New Roman" w:eastAsia="方正楷体简体" w:cs="Times New Roman"/>
          <w:bCs/>
          <w:sz w:val="32"/>
          <w:szCs w:val="32"/>
        </w:rPr>
        <w:t>（四）</w:t>
      </w:r>
      <w:r>
        <w:rPr>
          <w:rFonts w:ascii="Times New Roman" w:hAnsi="Times New Roman" w:eastAsia="方正楷体简体"/>
          <w:color w:val="000000"/>
          <w:sz w:val="32"/>
          <w:szCs w:val="32"/>
        </w:rPr>
        <w:t>社会保险基金预算执行情况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楷体简体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方正楷体简体" w:cs="Times New Roman"/>
          <w:bCs/>
          <w:sz w:val="32"/>
          <w:szCs w:val="32"/>
        </w:rPr>
        <w:t>（</w:t>
      </w:r>
      <w:r>
        <w:rPr>
          <w:rFonts w:hint="eastAsia" w:ascii="Times New Roman" w:hAnsi="Times New Roman" w:eastAsia="方正楷体简体" w:cs="Times New Roman"/>
          <w:bCs/>
          <w:sz w:val="32"/>
          <w:szCs w:val="32"/>
          <w:lang w:val="en-US" w:eastAsia="zh-CN"/>
        </w:rPr>
        <w:t>五</w:t>
      </w:r>
      <w:r>
        <w:rPr>
          <w:rFonts w:ascii="Times New Roman" w:hAnsi="Times New Roman" w:eastAsia="方正楷体简体" w:cs="Times New Roman"/>
          <w:bCs/>
          <w:sz w:val="32"/>
          <w:szCs w:val="32"/>
        </w:rPr>
        <w:t>）</w:t>
      </w:r>
      <w:r>
        <w:rPr>
          <w:rFonts w:hint="eastAsia" w:ascii="Times New Roman" w:hAnsi="Times New Roman" w:eastAsia="方正楷体简体"/>
          <w:color w:val="000000"/>
          <w:sz w:val="32"/>
          <w:szCs w:val="32"/>
          <w:lang w:val="en-US" w:eastAsia="zh-CN"/>
        </w:rPr>
        <w:t>地方政府性债务情况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>二、</w:t>
      </w:r>
      <w:r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黑体简体" w:cs="Times New Roman"/>
          <w:sz w:val="32"/>
          <w:szCs w:val="32"/>
        </w:rPr>
        <w:t>年财政主要工作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80" w:lineRule="exact"/>
        <w:ind w:left="3" w:leftChars="0" w:firstLine="627" w:firstLineChars="0"/>
        <w:textAlignment w:val="auto"/>
        <w:rPr>
          <w:rFonts w:ascii="Times New Roman" w:hAnsi="Times New Roman" w:eastAsia="方正楷体简体" w:cs="Times New Roman"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Cs/>
          <w:sz w:val="32"/>
          <w:szCs w:val="32"/>
          <w:highlight w:val="none"/>
          <w:lang w:val="en-US" w:eastAsia="zh-CN"/>
        </w:rPr>
        <w:t>抓党建强引领，严肃财经纪律推进依法理财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80" w:lineRule="exact"/>
        <w:ind w:left="3" w:leftChars="0" w:firstLine="627" w:firstLineChars="0"/>
        <w:textAlignment w:val="auto"/>
        <w:rPr>
          <w:rFonts w:ascii="Times New Roman" w:hAnsi="Times New Roman" w:eastAsia="方正楷体简体" w:cs="Times New Roman"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color w:val="auto"/>
          <w:sz w:val="32"/>
          <w:szCs w:val="32"/>
          <w:highlight w:val="none"/>
          <w:lang w:val="en-US" w:eastAsia="zh-CN"/>
        </w:rPr>
        <w:t>抓“三保”兜底线，筑牢风险防线推动安全发展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27" w:firstLineChars="196"/>
        <w:textAlignment w:val="auto"/>
        <w:rPr>
          <w:rFonts w:hint="eastAsia" w:ascii="方正楷体简体" w:hAnsi="方正楷体简体" w:eastAsia="方正楷体简体" w:cs="方正楷体简体"/>
          <w:sz w:val="32"/>
          <w:highlight w:val="none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（</w:t>
      </w:r>
      <w:r>
        <w:rPr>
          <w:rFonts w:hint="eastAsia" w:ascii="Times New Roman" w:hAnsi="Times New Roman" w:eastAsia="方正楷体简体" w:cs="Times New Roman"/>
          <w:bCs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）</w:t>
      </w:r>
      <w:r>
        <w:rPr>
          <w:rFonts w:hint="eastAsia" w:eastAsia="方正楷体简体" w:cs="Times New Roman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抓项目培产业，强化财源建设推动收入增长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highlight w:val="none"/>
        </w:rPr>
        <w:t>（</w:t>
      </w:r>
      <w:r>
        <w:rPr>
          <w:rFonts w:hint="eastAsia" w:ascii="方正楷体简体" w:hAnsi="方正楷体简体" w:eastAsia="方正楷体简体" w:cs="方正楷体简体"/>
          <w:sz w:val="32"/>
          <w:highlight w:val="none"/>
          <w:lang w:val="en-US" w:eastAsia="zh-CN"/>
        </w:rPr>
        <w:t>四</w:t>
      </w:r>
      <w:r>
        <w:rPr>
          <w:rFonts w:hint="eastAsia" w:ascii="方正楷体简体" w:hAnsi="方正楷体简体" w:eastAsia="方正楷体简体" w:cs="方正楷体简体"/>
          <w:sz w:val="32"/>
          <w:highlight w:val="none"/>
        </w:rPr>
        <w:t>）</w:t>
      </w:r>
      <w:r>
        <w:rPr>
          <w:rFonts w:hint="eastAsia" w:eastAsia="方正楷体简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抓建设促投资，提升基础设施推动经济发展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Cs/>
          <w:sz w:val="32"/>
          <w:szCs w:val="32"/>
          <w:highlight w:val="none"/>
          <w:lang w:val="en-US" w:eastAsia="zh-CN"/>
        </w:rPr>
        <w:t>（五）</w:t>
      </w:r>
      <w:r>
        <w:rPr>
          <w:rFonts w:hint="eastAsia" w:eastAsia="方正楷体简体" w:cs="Times New Roman"/>
          <w:bCs/>
          <w:color w:val="auto"/>
          <w:sz w:val="32"/>
          <w:szCs w:val="32"/>
          <w:highlight w:val="none"/>
          <w:lang w:val="en-US" w:eastAsia="zh-CN"/>
        </w:rPr>
        <w:t>抓投入保民生，共享发展成果增进民生福祉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hint="eastAsia" w:ascii="方正楷体简体" w:hAnsi="方正楷体简体" w:eastAsia="方正楷体简体" w:cs="方正楷体简体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Cs/>
          <w:sz w:val="32"/>
          <w:szCs w:val="32"/>
          <w:highlight w:val="none"/>
          <w:lang w:val="en-US" w:eastAsia="zh-CN"/>
        </w:rPr>
        <w:t>（六）</w:t>
      </w:r>
      <w:r>
        <w:rPr>
          <w:rFonts w:hint="eastAsia" w:ascii="Times New Roman" w:hAnsi="Times New Roman" w:eastAsia="方正楷体简体" w:cs="Times New Roman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抓争取强统筹，巩固脱贫成果推进乡村振兴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0" w:firstLineChars="200"/>
        <w:textAlignment w:val="auto"/>
        <w:rPr>
          <w:rFonts w:hint="eastAsia"/>
          <w:lang w:eastAsia="zh-CN"/>
        </w:rPr>
      </w:pPr>
      <w:r>
        <w:rPr>
          <w:rFonts w:hint="eastAsia" w:ascii="方正楷体简体" w:hAnsi="方正楷体简体" w:eastAsia="方正楷体简体" w:cs="方正楷体简体"/>
          <w:bCs/>
          <w:sz w:val="32"/>
          <w:szCs w:val="32"/>
          <w:highlight w:val="none"/>
          <w:lang w:val="en-US" w:eastAsia="zh-CN"/>
        </w:rPr>
        <w:t>（七）</w:t>
      </w:r>
      <w:r>
        <w:rPr>
          <w:rFonts w:hint="eastAsia" w:eastAsia="方正楷体简体" w:cs="Times New Roman"/>
          <w:color w:val="auto"/>
          <w:sz w:val="32"/>
          <w:szCs w:val="32"/>
          <w:highlight w:val="none"/>
          <w:lang w:val="en-US" w:eastAsia="zh-CN"/>
        </w:rPr>
        <w:t>抓改革强问效</w:t>
      </w: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eastAsia="方正楷体简体" w:cs="Times New Roman"/>
          <w:color w:val="auto"/>
          <w:sz w:val="32"/>
          <w:szCs w:val="32"/>
          <w:highlight w:val="none"/>
          <w:lang w:val="en-US" w:eastAsia="zh-CN"/>
        </w:rPr>
        <w:t>推进预算绩效提升财政管理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黑体简体" w:cs="Times New Roman"/>
          <w:kern w:val="0"/>
          <w:sz w:val="32"/>
          <w:szCs w:val="32"/>
          <w:highlight w:val="none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>三、</w:t>
      </w:r>
      <w:r>
        <w:rPr>
          <w:rFonts w:hint="default" w:ascii="Times New Roman" w:hAnsi="Times New Roman" w:eastAsia="方正黑体简体" w:cs="Times New Roman"/>
          <w:bCs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方正黑体简体" w:cs="Times New Roman"/>
          <w:bCs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黑体简体" w:cs="Times New Roman"/>
          <w:bCs/>
          <w:sz w:val="32"/>
          <w:szCs w:val="32"/>
          <w:highlight w:val="none"/>
        </w:rPr>
        <w:t>年地方财政预算草案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简体" w:cs="Times New Roman"/>
          <w:kern w:val="0"/>
          <w:sz w:val="32"/>
          <w:szCs w:val="32"/>
          <w:highlight w:val="none"/>
        </w:rPr>
        <w:t>（一）</w:t>
      </w:r>
      <w:r>
        <w:rPr>
          <w:rFonts w:hint="eastAsia" w:eastAsia="方正楷体简体" w:cs="Times New Roman"/>
          <w:kern w:val="0"/>
          <w:sz w:val="32"/>
          <w:szCs w:val="32"/>
          <w:highlight w:val="none"/>
          <w:lang w:val="en-US" w:eastAsia="zh-CN"/>
        </w:rPr>
        <w:t>财政形势分析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楷体简体" w:cs="Times New Roman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楷体简体" w:cs="Times New Roman"/>
          <w:kern w:val="0"/>
          <w:sz w:val="32"/>
          <w:szCs w:val="32"/>
          <w:highlight w:val="none"/>
        </w:rPr>
        <w:t>（二）</w:t>
      </w:r>
      <w:r>
        <w:rPr>
          <w:rFonts w:hint="eastAsia" w:ascii="Times New Roman" w:hAnsi="Times New Roman" w:eastAsia="方正楷体简体" w:cs="Times New Roman"/>
          <w:kern w:val="0"/>
          <w:sz w:val="32"/>
          <w:szCs w:val="32"/>
          <w:highlight w:val="none"/>
          <w:lang w:val="en-US" w:eastAsia="zh-CN"/>
        </w:rPr>
        <w:t>2024年财政收支预算安排情况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</w:rPr>
        <w:t>一般公共预算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</w:rPr>
        <w:t>政府性基金</w:t>
      </w: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>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</w:rPr>
        <w:t>国有资本经营预算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</w:rPr>
        <w:t>社会保险基金预算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方正楷体简体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楷体简体" w:cs="Times New Roman"/>
          <w:kern w:val="0"/>
          <w:sz w:val="32"/>
          <w:szCs w:val="32"/>
          <w:highlight w:val="none"/>
          <w:lang w:eastAsia="zh-CN"/>
        </w:rPr>
        <w:t>（三）县级“三保”预算安排情况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简体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黑体简体" w:cs="Times New Roman"/>
          <w:bCs/>
          <w:kern w:val="0"/>
          <w:sz w:val="32"/>
          <w:szCs w:val="32"/>
          <w:highlight w:val="none"/>
          <w:lang w:val="en-US" w:eastAsia="zh-CN"/>
        </w:rPr>
        <w:t>四</w:t>
      </w:r>
      <w:r>
        <w:rPr>
          <w:rFonts w:hint="default" w:ascii="Times New Roman" w:hAnsi="Times New Roman" w:eastAsia="方正黑体简体" w:cs="Times New Roman"/>
          <w:bCs/>
          <w:kern w:val="0"/>
          <w:sz w:val="32"/>
          <w:szCs w:val="32"/>
          <w:highlight w:val="none"/>
        </w:rPr>
        <w:t>、202</w:t>
      </w:r>
      <w:r>
        <w:rPr>
          <w:rFonts w:hint="eastAsia" w:ascii="Times New Roman" w:hAnsi="Times New Roman" w:eastAsia="方正黑体简体" w:cs="Times New Roman"/>
          <w:bCs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黑体简体" w:cs="Times New Roman"/>
          <w:bCs/>
          <w:kern w:val="0"/>
          <w:sz w:val="32"/>
          <w:szCs w:val="32"/>
          <w:highlight w:val="none"/>
        </w:rPr>
        <w:t>年财政重点工作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eastAsia="方正楷体简体"/>
          <w:sz w:val="32"/>
          <w:szCs w:val="32"/>
          <w:highlight w:val="none"/>
          <w:lang w:val="en-US" w:eastAsia="zh-CN"/>
        </w:rPr>
      </w:pPr>
      <w:r>
        <w:rPr>
          <w:rFonts w:hint="eastAsia" w:eastAsia="方正楷体简体"/>
          <w:sz w:val="32"/>
          <w:szCs w:val="32"/>
          <w:highlight w:val="none"/>
          <w:lang w:val="en-US" w:eastAsia="zh-CN"/>
        </w:rPr>
        <w:t>（一）</w:t>
      </w:r>
      <w:r>
        <w:rPr>
          <w:rFonts w:hint="eastAsia" w:eastAsia="方正楷体简体" w:cs="Times New Roman"/>
          <w:color w:val="auto"/>
          <w:sz w:val="32"/>
          <w:szCs w:val="32"/>
          <w:highlight w:val="none"/>
          <w:lang w:val="en-US" w:eastAsia="zh-CN"/>
        </w:rPr>
        <w:t>提升财源培植实效</w:t>
      </w: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highlight w:val="none"/>
          <w:lang w:val="en-US" w:eastAsia="zh-CN"/>
        </w:rPr>
        <w:t>，推动</w:t>
      </w:r>
      <w:r>
        <w:rPr>
          <w:rFonts w:hint="eastAsia" w:eastAsia="方正楷体简体" w:cs="Times New Roman"/>
          <w:color w:val="auto"/>
          <w:sz w:val="32"/>
          <w:szCs w:val="32"/>
          <w:highlight w:val="none"/>
          <w:lang w:val="en-US" w:eastAsia="zh-CN"/>
        </w:rPr>
        <w:t>高质量</w:t>
      </w: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highlight w:val="none"/>
          <w:lang w:val="en-US" w:eastAsia="zh-CN"/>
        </w:rPr>
        <w:t>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eastAsia="方正楷体简体" w:cs="Times New Roman"/>
          <w:color w:val="auto"/>
          <w:sz w:val="32"/>
          <w:szCs w:val="32"/>
          <w:highlight w:val="none"/>
          <w:lang w:val="en-US" w:eastAsia="zh-CN"/>
        </w:rPr>
        <w:t>强化财政政策集成，激活发展内生动力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  <w:lang w:val="en-US" w:eastAsia="zh-CN"/>
        </w:rPr>
        <w:t>三）</w:t>
      </w:r>
      <w:r>
        <w:rPr>
          <w:rFonts w:hint="eastAsia" w:eastAsia="方正楷体简体" w:cs="Times New Roman"/>
          <w:color w:val="auto"/>
          <w:sz w:val="32"/>
          <w:szCs w:val="32"/>
          <w:highlight w:val="none"/>
          <w:lang w:val="en-US" w:eastAsia="zh-CN"/>
        </w:rPr>
        <w:t>统筹城乡一体推进，促进区域协调发展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  <w:lang w:val="en-US" w:eastAsia="zh-CN"/>
        </w:rPr>
        <w:t>四）</w:t>
      </w:r>
      <w:r>
        <w:rPr>
          <w:rFonts w:hint="eastAsia" w:eastAsia="方正楷体简体" w:cs="Times New Roman"/>
          <w:color w:val="auto"/>
          <w:sz w:val="32"/>
          <w:szCs w:val="32"/>
          <w:highlight w:val="none"/>
          <w:lang w:val="en-US" w:eastAsia="zh-CN"/>
        </w:rPr>
        <w:t>强化财政资源统筹，加大民生保障投入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0" w:firstLineChars="200"/>
        <w:textAlignment w:val="auto"/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  <w:lang w:val="en-US" w:eastAsia="zh-CN"/>
        </w:rPr>
        <w:t>（五）</w:t>
      </w:r>
      <w:r>
        <w:rPr>
          <w:rFonts w:hint="eastAsia" w:eastAsia="方正楷体简体" w:cs="Times New Roman"/>
          <w:color w:val="auto"/>
          <w:sz w:val="32"/>
          <w:szCs w:val="32"/>
          <w:highlight w:val="none"/>
          <w:lang w:val="en-US" w:eastAsia="zh-CN"/>
        </w:rPr>
        <w:t>严格风险管控化解，高效统筹发展安全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  <w:lang w:val="en-US" w:eastAsia="zh-CN"/>
        </w:rPr>
        <w:t>（六）</w:t>
      </w:r>
      <w:r>
        <w:rPr>
          <w:rFonts w:hint="eastAsia" w:eastAsia="方正楷体简体" w:cs="Times New Roman"/>
          <w:color w:val="auto"/>
          <w:sz w:val="32"/>
          <w:szCs w:val="32"/>
          <w:highlight w:val="none"/>
          <w:lang w:val="en-US" w:eastAsia="zh-CN"/>
        </w:rPr>
        <w:t>深化财政管理改革，提升财政治理效能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第二部分：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武定县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3</w:t>
      </w: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年地方财政预算执行情况和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4</w:t>
      </w: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年地方财政预算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2"/>
          <w:szCs w:val="32"/>
          <w:highlight w:val="none"/>
          <w:lang w:val="en-US" w:eastAsia="zh-CN"/>
        </w:rPr>
      </w:pP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（草案）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附表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楷体简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简体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方正楷体简体" w:cs="Times New Roman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Times New Roman" w:hAnsi="Times New Roman" w:eastAsia="方正楷体简体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方正楷体简体" w:cs="Times New Roman"/>
          <w:sz w:val="32"/>
          <w:szCs w:val="32"/>
          <w:highlight w:val="none"/>
          <w:lang w:val="en-US" w:eastAsia="zh-CN"/>
        </w:rPr>
        <w:t>2023年地方财政预算执行情况表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武定县2023年一般公共预算收入执行情况表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武定县2023年一般公共预算支出执行情况表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pacing w:val="-2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武定县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202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年政府性基金预算收入执行情况</w:t>
      </w:r>
      <w:r>
        <w:rPr>
          <w:rFonts w:hint="default" w:ascii="Times New Roman" w:hAnsi="Times New Roman" w:eastAsia="方正仿宋简体" w:cs="Times New Roman"/>
          <w:spacing w:val="-20"/>
          <w:sz w:val="32"/>
          <w:szCs w:val="32"/>
          <w:highlight w:val="none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pacing w:val="-2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武定县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202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年政府性基金预算支出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执行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情况表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2238" w:leftChars="304" w:hanging="1600" w:hangingChars="5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5.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武定县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202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年国有资本经营预算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执行情况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pacing w:val="-2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6.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武定县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202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年社会保险基金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预算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收入执行情况表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7.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武定县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202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年社会保险基金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预算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支出执行情况表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8.武定县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年社会保险基金结余情况表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楷体简体" w:cs="Times New Roman"/>
          <w:sz w:val="32"/>
          <w:szCs w:val="32"/>
          <w:highlight w:val="none"/>
          <w:lang w:val="en-US" w:eastAsia="zh-CN"/>
        </w:rPr>
        <w:t>2024年地方财政预算情况表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9.武定县2024年一般公共预算收入情况表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10.武定县2024年一般公共预算支出情况表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11.武定县2024年政府预算支出经济分类情况表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12.武定县2024年政府性基金预算收入情况表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13.武定县2024年政府性基金预算支出情况表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14.武定县2024年国有资本经营收入预算情况表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15.武定县2024年国有资本经营支出预算情况表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16.武定县2024年社会保险基金预算收入情况表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17.武定县2024年社会保险基金预算支出情况表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18.武定县2024年社会保险基金结余情况表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1916" w:leftChars="303" w:hanging="1280" w:hangingChars="4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19.武定县2023年地方政府债务限额和余额情况表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1916" w:leftChars="303" w:hanging="1280" w:hangingChars="4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20.武定县2023年地方政府债务投向情况表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1916" w:leftChars="303" w:hanging="1280" w:hangingChars="4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21.武定县2023年年初新增地方政府债券资金安排表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1916" w:leftChars="303" w:hanging="1280" w:hangingChars="4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22.武定县2024年地方政府债务限额和余额情况表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1916" w:leftChars="303" w:hanging="1280" w:hangingChars="4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23.武定县2024年“三保”支出预算表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第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</w:rPr>
        <w:t>三</w:t>
      </w: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部分：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武定县202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4</w:t>
      </w: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政府</w:t>
      </w: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预算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公开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rPr>
          <w:rFonts w:hint="default" w:ascii="方正楷体简体" w:hAnsi="Times New Roman" w:eastAsia="方正楷体简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  <w:highlight w:val="none"/>
          <w:lang w:val="en-US" w:eastAsia="zh-CN"/>
        </w:rPr>
        <w:t>附件目录如下：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1.表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一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-1 武定县2024年一般公共预算收入情况表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2.表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一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-2 武定县本级2024年一般公共预算收入情况表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3.表一-3 武定县2024年县本级一般公共预算支出情况表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4.表一-4 武定县2024年县本级一般公共预算支出情况表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5.表一-5 武定县2024年县本级一般公共预算政府预算经济分类表（基本支出）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6.表一-6 武定县2024年县本级一般公共预算支出表(县对下转移支付项目)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7.表一-7 武定县2024年分地区税收返还和转移支付预算表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8.表一-8</w:t>
      </w:r>
      <w:r>
        <w:rPr>
          <w:rFonts w:hint="eastAsia" w:ascii="Times New Roman" w:hAnsi="Times New Roman" w:eastAsia="方正仿宋简体" w:cs="Times New Roman"/>
          <w:sz w:val="48"/>
          <w:szCs w:val="4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2024年武定县“三公”经费预算财政拨款情况统计表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9.表二-1 武定县2024年政府性基金预算收入情况表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10.表二-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 xml:space="preserve"> 武定县2024年本级政府性基金预算收入情况表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11.表二-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 xml:space="preserve"> 武定县2024年政府性基金预算支出情况表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12.表二-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 xml:space="preserve"> 武定2024年县本级政府性基金预算支出情况表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13.表二-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 xml:space="preserve"> 武定县本级2024年政府性基金支出表（县对下转移支付）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14.表三-1 武定县2024年国有资本经营收入预算情况表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15.表三-2 武定县2024年县本级国有资本经营收入预算情况表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16.表三-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 xml:space="preserve"> 武定县2024年国有资本经营支出预算情况表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17.表三-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 xml:space="preserve"> 武定县本级2024年国有资本经营支出预算情况表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18.表三-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 xml:space="preserve"> 武定县2024年国有资本经营预算转移支付表（分乡镇）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19.表三-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 xml:space="preserve"> 武定县本级2024年国有资本经营预算转移支付表（分项目）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20.表四-1 武定县2024年社会保险基金预算收入情况表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21.表四-2 武定县2024年本级社会保险基金收入预算情况表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22.表四-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 xml:space="preserve"> 武定县2024年社会保险基金预算支出情况表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23.表四-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 xml:space="preserve"> 武定县2024年本级社会保险基金预算支出情况表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24.表四-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 xml:space="preserve"> 武定县2024年社会保险基金结余情况表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25.表五-1 武定县2023年地方政府债务限额及余额预算情况表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26.表五-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 xml:space="preserve"> 武定县2023年地方政府一般债务余额情况表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27.表五-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 xml:space="preserve"> 武定县2023年县本级地方政府一般债务余额情况表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28.表五-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 xml:space="preserve"> 武定县2023年地方政府专项债务余额情况表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29.表五-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 xml:space="preserve"> 武定县本级2023年地方政府专项债务余额情况表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30.表五-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 xml:space="preserve"> 武定县地方政府债券发行及还本付息情况表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31.表五-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 xml:space="preserve"> 武定县2024年地方政府债务限额提前下达情况表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32.表五-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 xml:space="preserve"> 武定县2024年年初新增地方政府债券资金安排表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33.表五-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 xml:space="preserve"> 武定县2024年政府专项债务限额和余额情况表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.表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六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 xml:space="preserve">1 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武定县2024年重大政策和重点项目绩效目标表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.表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六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 xml:space="preserve">2 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重点工作情况解释说明汇总表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第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四</w:t>
      </w:r>
      <w:r>
        <w:rPr>
          <w:rFonts w:ascii="Times New Roman" w:hAnsi="Times New Roman" w:eastAsia="方正小标宋简体" w:cs="Times New Roman"/>
          <w:sz w:val="44"/>
          <w:szCs w:val="44"/>
        </w:rPr>
        <w:t>部分：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其他情况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说明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武定县202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3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年转移支付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执行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武定县202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4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年转移支付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预算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武定县2024年“三公”经费预算预算财政拨款安排情况说明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武定县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2023年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举借债务情况说明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武定县2024年政府性债务举借计划说明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武定县财政资金专户管理情况说明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武定县2024年涉及空表公开内容说明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武定县重大政策和重点项目等预算绩效管理情况说明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武定县第十八届人民代表大会第四次会议关于武定县2023年地方财政预算执行情况和2024年地方财政预算的决议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distribute"/>
        <w:textAlignment w:val="auto"/>
        <w:rPr>
          <w:rFonts w:hint="default" w:asciiTheme="minorEastAsia" w:hAnsiTheme="minorEastAsia" w:cstheme="minorEastAsia"/>
          <w:sz w:val="28"/>
          <w:szCs w:val="28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60D84A"/>
    <w:multiLevelType w:val="singleLevel"/>
    <w:tmpl w:val="C560D84A"/>
    <w:lvl w:ilvl="0" w:tentative="0">
      <w:start w:val="1"/>
      <w:numFmt w:val="chineseCounting"/>
      <w:suff w:val="nothing"/>
      <w:lvlText w:val="（%1）"/>
      <w:lvlJc w:val="left"/>
      <w:pPr>
        <w:ind w:left="3"/>
      </w:pPr>
      <w:rPr>
        <w:rFonts w:hint="eastAsia"/>
      </w:rPr>
    </w:lvl>
  </w:abstractNum>
  <w:abstractNum w:abstractNumId="1">
    <w:nsid w:val="FB609EAC"/>
    <w:multiLevelType w:val="singleLevel"/>
    <w:tmpl w:val="FB609EA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CA1D737"/>
    <w:multiLevelType w:val="singleLevel"/>
    <w:tmpl w:val="5CA1D73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900E6"/>
    <w:rsid w:val="027E06FA"/>
    <w:rsid w:val="03152467"/>
    <w:rsid w:val="0383540B"/>
    <w:rsid w:val="03F52204"/>
    <w:rsid w:val="0A1A2704"/>
    <w:rsid w:val="0C2E62DC"/>
    <w:rsid w:val="0E7F67DB"/>
    <w:rsid w:val="167F0046"/>
    <w:rsid w:val="18BC3580"/>
    <w:rsid w:val="1B944F25"/>
    <w:rsid w:val="1CB81807"/>
    <w:rsid w:val="2267065E"/>
    <w:rsid w:val="230150B2"/>
    <w:rsid w:val="23385E0D"/>
    <w:rsid w:val="27016485"/>
    <w:rsid w:val="27527E4F"/>
    <w:rsid w:val="34C626A0"/>
    <w:rsid w:val="3879560E"/>
    <w:rsid w:val="391E6E55"/>
    <w:rsid w:val="394900E6"/>
    <w:rsid w:val="3B890EAC"/>
    <w:rsid w:val="3ECD05CA"/>
    <w:rsid w:val="409A450A"/>
    <w:rsid w:val="4E44186E"/>
    <w:rsid w:val="51BF4B46"/>
    <w:rsid w:val="56D257BD"/>
    <w:rsid w:val="58201006"/>
    <w:rsid w:val="588035A6"/>
    <w:rsid w:val="5FE05203"/>
    <w:rsid w:val="60A64F7D"/>
    <w:rsid w:val="6373264C"/>
    <w:rsid w:val="63F848B2"/>
    <w:rsid w:val="68CE56FB"/>
    <w:rsid w:val="6C9D08AF"/>
    <w:rsid w:val="6DEC074F"/>
    <w:rsid w:val="6DF05F04"/>
    <w:rsid w:val="6F9E615E"/>
    <w:rsid w:val="7524757D"/>
    <w:rsid w:val="773A7310"/>
    <w:rsid w:val="7B510E6B"/>
    <w:rsid w:val="7B85445E"/>
    <w:rsid w:val="7CC94425"/>
    <w:rsid w:val="7D524075"/>
    <w:rsid w:val="7E982B14"/>
    <w:rsid w:val="7ED86A6B"/>
    <w:rsid w:val="7F4C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jc w:val="center"/>
    </w:pPr>
    <w:rPr>
      <w:rFonts w:eastAsia="楷体_GB2312"/>
      <w:sz w:val="44"/>
    </w:rPr>
  </w:style>
  <w:style w:type="paragraph" w:styleId="3">
    <w:name w:val="toc 5"/>
    <w:basedOn w:val="1"/>
    <w:next w:val="1"/>
    <w:qFormat/>
    <w:uiPriority w:val="99"/>
    <w:pPr>
      <w:ind w:left="168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2020-03-25T14:49:00Z</dcterms:created>
  <dc:creator>彩云广告1</dc:creator>
  <cp:lastModifiedBy>刘霁莹</cp:lastModifiedBy>
  <cp:lastPrinted>2024-02-02T02:03:00Z</cp:lastPrinted>
  <dcterms:modified xsi:type="dcterms:W3CDTF">2024-04-30T03:23:38Z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