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20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算公开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草案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一般公共预算</w:t>
      </w:r>
      <w:r>
        <w:rPr>
          <w:rFonts w:hint="default" w:ascii="Times New Roman" w:hAnsi="Times New Roman" w:eastAsia="方正楷体简体" w:cs="Times New Roman"/>
          <w:sz w:val="32"/>
          <w:szCs w:val="32"/>
          <w:highlight w:val="none"/>
        </w:rPr>
        <w:t>收支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（二）政府性基金预算执行情况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（三）国有资本经营预算执行情况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社会保险基金预算执行情况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color w:val="000000"/>
          <w:sz w:val="32"/>
          <w:szCs w:val="32"/>
          <w:lang w:val="en-US" w:eastAsia="zh-CN"/>
        </w:rPr>
        <w:t>地方政府性债务情况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年财政主要工作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3" w:leftChars="0" w:firstLine="627" w:firstLineChars="0"/>
        <w:textAlignment w:val="auto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抓党建强引领，严肃财经纪律推进依法理财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3" w:leftChars="0" w:firstLine="627" w:firstLineChars="0"/>
        <w:textAlignment w:val="auto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抓“三保”兜底线，筑牢风险防线推动安全发展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eastAsia="方正楷体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抓项目培产业，强化财源建设推动收入增长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highlight w:val="none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）</w:t>
      </w:r>
      <w:r>
        <w:rPr>
          <w:rFonts w:hint="eastAsia" w:eastAsia="方正楷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抓建设促投资，提升基础设施推动经济发展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eastAsia="方正楷体简体" w:cs="Times New Roman"/>
          <w:bCs/>
          <w:color w:val="auto"/>
          <w:sz w:val="32"/>
          <w:szCs w:val="32"/>
          <w:highlight w:val="none"/>
          <w:lang w:val="en-US" w:eastAsia="zh-CN"/>
        </w:rPr>
        <w:t>抓投入保民生，共享发展成果增进民生福祉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方正楷体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抓争取强统筹，巩固脱贫成果推进乡村振兴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抓改革强问效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推进预算绩效提升财政管理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年地方财政预算草案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（一）</w:t>
      </w:r>
      <w:r>
        <w:rPr>
          <w:rFonts w:hint="eastAsia" w:eastAsia="方正楷体简体" w:cs="Times New Roman"/>
          <w:kern w:val="0"/>
          <w:sz w:val="32"/>
          <w:szCs w:val="32"/>
          <w:highlight w:val="none"/>
          <w:lang w:val="en-US" w:eastAsia="zh-CN"/>
        </w:rPr>
        <w:t>财政形势分析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2024年财政收支预算安排情况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政府性基金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国有资本经营预算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社会保险基金预算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eastAsia="zh-CN"/>
        </w:rPr>
        <w:t>（三）县级“三保”预算安排情况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、202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年财政重点工作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方正楷体简体"/>
          <w:sz w:val="32"/>
          <w:szCs w:val="32"/>
          <w:highlight w:val="none"/>
          <w:lang w:val="en-US" w:eastAsia="zh-CN"/>
        </w:rPr>
      </w:pP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提升财源培植实效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，推动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强化财政政策集成，激活发展内生动力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统筹城乡一体推进，促进区域协调发展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强化财政资源统筹，加大民生保障投入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严格风险管控化解，高效统筹发展安全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eastAsia="方正楷体简体" w:cs="Times New Roman"/>
          <w:color w:val="auto"/>
          <w:sz w:val="32"/>
          <w:szCs w:val="32"/>
          <w:highlight w:val="none"/>
          <w:lang w:val="en-US" w:eastAsia="zh-CN"/>
        </w:rPr>
        <w:t>深化财政管理改革，提升财政治理效能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年地方财政预算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（草案）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2023年地方财政预算执行情况表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武定县2023年一般公共预算收入执行情况表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武定县2023年一般公共预算支出执行情况表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年政府性基金预算收入执行情况</w:t>
      </w:r>
      <w:r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年政府性基金预算支出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2238" w:leftChars="304" w:hanging="1600" w:hanging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年国有资本经营预算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执行情况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年社会保险基金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收入执行情况表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武定县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年社会保险基金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支出执行情况表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8.武定县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年社会保险基金结余情况表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>2024年地方财政预算情况表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9.武定县2024年一般公共预算收入情况表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10.武定县2024年一般公共预算支出情况表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11.武定县2024年政府预算支出经济分类情况表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12.武定县2024年政府性基金预算收入情况表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13.武定县2024年政府性基金预算支出情况表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14.武定县2024年国有资本经营收入预算情况表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15.武定县2024年国有资本经营支出预算情况表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16.武定县2024年社会保险基金预算收入情况表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17.武定县2024年社会保险基金预算支出情况表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18.武定县2024年社会保险基金结余情况表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19.武定县2023年地方政府债务限额和余额情况表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20.武定县2023年地方政府债务投向情况表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21.武定县2023年年初新增地方政府债券资金安排表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22.武定县2024年地方政府债务限额和余额情况表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916" w:leftChars="303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23.武定县2024年“三保”支出预算表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武定县202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政府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预算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方正楷体简体" w:hAnsi="Times New Roman" w:eastAsia="方正楷体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highlight w:val="none"/>
          <w:lang w:val="en-US" w:eastAsia="zh-CN"/>
        </w:rPr>
        <w:t>附件目录如下：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-1 武定县2024年一般公共预算收入情况表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-2 武定县本级2024年一般公共预算收入情况表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3.表一-3 武定县2024年县本级一般公共预算支出情况表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4.表一-4 武定县2024年县本级一般公共预算支出情况表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5.表一-5 武定县2024年县本级一般公共预算政府预算经济分类表（基本支出）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6.表一-6 武定县2024年县本级一般公共预算支出表(县对下转移支付项目)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7.表一-7 武定县2024年分地区税收返还和转移支付预算表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8.表一-8</w:t>
      </w:r>
      <w:r>
        <w:rPr>
          <w:rFonts w:hint="eastAsia" w:ascii="Times New Roman" w:hAnsi="Times New Roman" w:eastAsia="方正仿宋简体" w:cs="Times New Roman"/>
          <w:sz w:val="48"/>
          <w:szCs w:val="4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2024年武定县“三公”经费预算财政拨款情况统计表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9.表二-1 武定县2024年政府性基金预算收入情况表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10.表二-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武定县2024年本级政府性基金预算收入情况表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11.表二-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12.表二-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武定2024年县本级政府性基金预算支出情况表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13.表二-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武定县本级2024年政府性基金支出表（县对下转移支付）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14.表三-1 武定县2024年国有资本经营收入预算情况表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15.表三-2 武定县2024年县本级国有资本经营收入预算情况表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16.表三-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武定县2024年国有资本经营支出预算情况表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17.表三-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武定县本级2024年国有资本经营支出预算情况表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18.表三-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武定县2024年国有资本经营预算转移支付表（分乡镇）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19.表三-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武定县本级2024年国有资本经营预算转移支付表（分项目）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20.表四-1 武定县2024年社会保险基金预算收入情况表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21.表四-2 武定县2024年本级社会保险基金收入预算情况表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22.表四-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23.表四-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武定县2024年本级社会保险基金预算支出情况表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24.表四-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武定县2024年社会保险基金结余情况表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25.表五-1 武定县2023年地方政府债务限额及余额预算情况表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武定县2023年地方政府一般债务余额情况表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27.表五-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武定县2023年县本级地方政府一般债务余额情况表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28.表五-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武定县2023年地方政府专项债务余额情况表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29.表五-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武定县本级2023年地方政府专项债务余额情况表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30.表五-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31.表五-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武定县2024年地方政府债务限额提前下达情况表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32.表五-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武定县2024年年初新增地方政府债券资金安排表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33.表五-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武定县2024年政府专项债务限额和余额情况表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武定县2024年重大政策和重点项目绩效目标表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.表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重点工作情况解释说明汇总表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执行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武定县2024年“三公”经费预算预算财政拨款安排情况说明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举借债务情况说明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武定县2024年政府性债务举借计划说明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武定县财政资金专户管理情况说明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武定县2024年涉及空表公开内容说明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武定县重大政策和重点项目等预算绩效管理情况说明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武定县第十八届人民代表大会第四次会议关于武定县2023年地方财政预算执行情况和2024年地方财政预算的决议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distribute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0D84A"/>
    <w:multiLevelType w:val="singleLevel"/>
    <w:tmpl w:val="C560D84A"/>
    <w:lvl w:ilvl="0" w:tentative="0">
      <w:start w:val="1"/>
      <w:numFmt w:val="chineseCounting"/>
      <w:suff w:val="nothing"/>
      <w:lvlText w:val="（%1）"/>
      <w:lvlJc w:val="left"/>
      <w:pPr>
        <w:ind w:left="3"/>
      </w:pPr>
      <w:rPr>
        <w:rFonts w:hint="eastAsia"/>
      </w:rPr>
    </w:lvl>
  </w:abstractNum>
  <w:abstractNum w:abstractNumId="1">
    <w:nsid w:val="FB609EAC"/>
    <w:multiLevelType w:val="singleLevel"/>
    <w:tmpl w:val="FB609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00E6"/>
    <w:rsid w:val="027E06FA"/>
    <w:rsid w:val="03152467"/>
    <w:rsid w:val="0383540B"/>
    <w:rsid w:val="03F52204"/>
    <w:rsid w:val="0A1A2704"/>
    <w:rsid w:val="0C2E62DC"/>
    <w:rsid w:val="0E7F67DB"/>
    <w:rsid w:val="167F0046"/>
    <w:rsid w:val="18BC3580"/>
    <w:rsid w:val="1B944F25"/>
    <w:rsid w:val="1CB81807"/>
    <w:rsid w:val="2267065E"/>
    <w:rsid w:val="230150B2"/>
    <w:rsid w:val="23385E0D"/>
    <w:rsid w:val="27016485"/>
    <w:rsid w:val="27527E4F"/>
    <w:rsid w:val="34C626A0"/>
    <w:rsid w:val="3879560E"/>
    <w:rsid w:val="391E6E55"/>
    <w:rsid w:val="394900E6"/>
    <w:rsid w:val="3B890EAC"/>
    <w:rsid w:val="3ECD05CA"/>
    <w:rsid w:val="409A450A"/>
    <w:rsid w:val="4E44186E"/>
    <w:rsid w:val="51BF4B46"/>
    <w:rsid w:val="56D257BD"/>
    <w:rsid w:val="58201006"/>
    <w:rsid w:val="588035A6"/>
    <w:rsid w:val="5FE05203"/>
    <w:rsid w:val="60A64F7D"/>
    <w:rsid w:val="6373264C"/>
    <w:rsid w:val="63F848B2"/>
    <w:rsid w:val="68CE56FB"/>
    <w:rsid w:val="6C9D08AF"/>
    <w:rsid w:val="6DEC074F"/>
    <w:rsid w:val="6DF05F04"/>
    <w:rsid w:val="6F9E615E"/>
    <w:rsid w:val="7524757D"/>
    <w:rsid w:val="773A7310"/>
    <w:rsid w:val="7B510E6B"/>
    <w:rsid w:val="7B85445E"/>
    <w:rsid w:val="7CC94425"/>
    <w:rsid w:val="7D524075"/>
    <w:rsid w:val="7E982B14"/>
    <w:rsid w:val="7ED86A6B"/>
    <w:rsid w:val="7F4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楷体_GB2312"/>
      <w:sz w:val="44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2020-03-25T14:49:00Z</dcterms:created>
  <dc:creator>彩云广告1</dc:creator>
  <cp:lastModifiedBy>刘霁莹</cp:lastModifiedBy>
  <cp:lastPrinted>2024-02-02T02:03:00Z</cp:lastPrinted>
  <dcterms:modified xsi:type="dcterms:W3CDTF">2024-04-30T03:23:38Z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